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69" w:rsidRDefault="002D4569">
      <w:pPr>
        <w:spacing w:line="27" w:lineRule="exact"/>
        <w:rPr>
          <w:sz w:val="24"/>
          <w:szCs w:val="24"/>
        </w:rPr>
      </w:pPr>
    </w:p>
    <w:p w:rsidR="002D4569" w:rsidRDefault="002D4569">
      <w:pPr>
        <w:spacing w:line="331" w:lineRule="exact"/>
        <w:rPr>
          <w:rFonts w:eastAsia="Times New Roman"/>
          <w:sz w:val="24"/>
          <w:szCs w:val="24"/>
        </w:rPr>
      </w:pPr>
    </w:p>
    <w:p w:rsidR="00292AD8" w:rsidRDefault="00292AD8">
      <w:pPr>
        <w:spacing w:line="331" w:lineRule="exact"/>
        <w:rPr>
          <w:sz w:val="24"/>
          <w:szCs w:val="24"/>
        </w:rPr>
      </w:pPr>
    </w:p>
    <w:p w:rsidR="002D4569" w:rsidRDefault="00292AD8">
      <w:pPr>
        <w:tabs>
          <w:tab w:val="left" w:pos="6340"/>
        </w:tabs>
        <w:rPr>
          <w:sz w:val="20"/>
          <w:szCs w:val="20"/>
        </w:rPr>
      </w:pPr>
      <w:r>
        <w:rPr>
          <w:rFonts w:eastAsia="Times New Roman"/>
          <w:sz w:val="24"/>
          <w:szCs w:val="24"/>
        </w:rPr>
        <w:t>Magistrát města Olomouce</w:t>
      </w:r>
      <w:r>
        <w:rPr>
          <w:sz w:val="20"/>
          <w:szCs w:val="20"/>
        </w:rPr>
        <w:tab/>
      </w:r>
      <w:r>
        <w:rPr>
          <w:rFonts w:eastAsia="Times New Roman"/>
          <w:sz w:val="24"/>
          <w:szCs w:val="24"/>
        </w:rPr>
        <w:t xml:space="preserve">Vyhotoveno: </w:t>
      </w:r>
      <w:proofErr w:type="gramStart"/>
      <w:r>
        <w:rPr>
          <w:rFonts w:eastAsia="Times New Roman"/>
          <w:sz w:val="24"/>
          <w:szCs w:val="24"/>
        </w:rPr>
        <w:t>2.7.2020</w:t>
      </w:r>
      <w:proofErr w:type="gramEnd"/>
    </w:p>
    <w:p w:rsidR="002D4569" w:rsidRDefault="002D4569">
      <w:pPr>
        <w:spacing w:line="29" w:lineRule="exact"/>
        <w:rPr>
          <w:sz w:val="24"/>
          <w:szCs w:val="24"/>
        </w:rPr>
      </w:pPr>
    </w:p>
    <w:p w:rsidR="002D4569" w:rsidRDefault="00292AD8">
      <w:pPr>
        <w:tabs>
          <w:tab w:val="left" w:pos="6340"/>
        </w:tabs>
        <w:rPr>
          <w:sz w:val="20"/>
          <w:szCs w:val="20"/>
        </w:rPr>
      </w:pPr>
      <w:r>
        <w:rPr>
          <w:rFonts w:eastAsia="Times New Roman"/>
          <w:sz w:val="24"/>
          <w:szCs w:val="24"/>
        </w:rPr>
        <w:t>Odbor agendy řidičů a motorových vozidel</w:t>
      </w:r>
      <w:r>
        <w:rPr>
          <w:sz w:val="20"/>
          <w:szCs w:val="20"/>
        </w:rPr>
        <w:tab/>
      </w:r>
      <w:r>
        <w:rPr>
          <w:rFonts w:eastAsia="Times New Roman"/>
          <w:sz w:val="24"/>
          <w:szCs w:val="24"/>
        </w:rPr>
        <w:t>Doručeno: 2.7.2020</w:t>
      </w:r>
    </w:p>
    <w:p w:rsidR="002D4569" w:rsidRDefault="002D4569">
      <w:pPr>
        <w:spacing w:line="26" w:lineRule="exact"/>
        <w:rPr>
          <w:sz w:val="24"/>
          <w:szCs w:val="24"/>
        </w:rPr>
      </w:pPr>
    </w:p>
    <w:p w:rsidR="002D4569" w:rsidRDefault="00292AD8">
      <w:pPr>
        <w:rPr>
          <w:sz w:val="20"/>
          <w:szCs w:val="20"/>
        </w:rPr>
      </w:pPr>
      <w:r>
        <w:rPr>
          <w:rFonts w:eastAsia="Times New Roman"/>
          <w:sz w:val="24"/>
          <w:szCs w:val="24"/>
        </w:rPr>
        <w:t>Vejdovského 2</w:t>
      </w:r>
    </w:p>
    <w:p w:rsidR="002D4569" w:rsidRDefault="002D4569">
      <w:pPr>
        <w:spacing w:line="29" w:lineRule="exact"/>
        <w:rPr>
          <w:sz w:val="24"/>
          <w:szCs w:val="24"/>
        </w:rPr>
      </w:pPr>
    </w:p>
    <w:p w:rsidR="002D4569" w:rsidRDefault="00292AD8">
      <w:pPr>
        <w:rPr>
          <w:sz w:val="20"/>
          <w:szCs w:val="20"/>
        </w:rPr>
      </w:pPr>
      <w:r>
        <w:rPr>
          <w:rFonts w:eastAsia="Times New Roman"/>
          <w:sz w:val="24"/>
          <w:szCs w:val="24"/>
        </w:rPr>
        <w:t>77911 Olomouc</w:t>
      </w:r>
    </w:p>
    <w:p w:rsidR="002D4569" w:rsidRDefault="002D4569">
      <w:pPr>
        <w:spacing w:line="331" w:lineRule="exact"/>
        <w:rPr>
          <w:sz w:val="24"/>
          <w:szCs w:val="24"/>
        </w:rPr>
      </w:pPr>
      <w:bookmarkStart w:id="0" w:name="_GoBack"/>
      <w:bookmarkEnd w:id="0"/>
    </w:p>
    <w:p w:rsidR="002D4569" w:rsidRDefault="00292AD8">
      <w:pPr>
        <w:rPr>
          <w:sz w:val="20"/>
          <w:szCs w:val="20"/>
        </w:rPr>
      </w:pPr>
      <w:r>
        <w:rPr>
          <w:rFonts w:eastAsia="Times New Roman"/>
          <w:sz w:val="24"/>
          <w:szCs w:val="24"/>
        </w:rPr>
        <w:t xml:space="preserve">Sp.zn.: </w:t>
      </w:r>
      <w:r>
        <w:rPr>
          <w:rFonts w:eastAsia="Times New Roman"/>
          <w:sz w:val="24"/>
          <w:szCs w:val="24"/>
        </w:rPr>
        <w:t>S-SMOL/105928/2020/OARMV</w:t>
      </w:r>
    </w:p>
    <w:p w:rsidR="002D4569" w:rsidRDefault="002D4569">
      <w:pPr>
        <w:spacing w:line="26" w:lineRule="exact"/>
        <w:rPr>
          <w:sz w:val="24"/>
          <w:szCs w:val="24"/>
        </w:rPr>
      </w:pPr>
    </w:p>
    <w:p w:rsidR="002D4569" w:rsidRDefault="00292AD8">
      <w:pPr>
        <w:rPr>
          <w:sz w:val="20"/>
          <w:szCs w:val="20"/>
        </w:rPr>
      </w:pPr>
      <w:r>
        <w:rPr>
          <w:rFonts w:eastAsia="Times New Roman"/>
          <w:sz w:val="24"/>
          <w:szCs w:val="24"/>
        </w:rPr>
        <w:t>Č.j.: SMOL/152244/2020/OARMV/DPD/KN</w:t>
      </w:r>
    </w:p>
    <w:p w:rsidR="002D4569" w:rsidRDefault="002D4569">
      <w:pPr>
        <w:spacing w:line="336" w:lineRule="exact"/>
        <w:rPr>
          <w:sz w:val="24"/>
          <w:szCs w:val="24"/>
        </w:rPr>
      </w:pPr>
    </w:p>
    <w:p w:rsidR="002D4569" w:rsidRDefault="00292AD8">
      <w:pPr>
        <w:rPr>
          <w:sz w:val="20"/>
          <w:szCs w:val="20"/>
        </w:rPr>
      </w:pPr>
      <w:r>
        <w:rPr>
          <w:rFonts w:eastAsia="Times New Roman"/>
          <w:b/>
          <w:bCs/>
          <w:sz w:val="24"/>
          <w:szCs w:val="24"/>
        </w:rPr>
        <w:t>Věc: Žádost o poskytnutí informace podle zák. č. 106/1999 Sb., o svobodném přístupu</w:t>
      </w:r>
    </w:p>
    <w:p w:rsidR="002D4569" w:rsidRDefault="002D4569">
      <w:pPr>
        <w:spacing w:line="29" w:lineRule="exact"/>
        <w:rPr>
          <w:sz w:val="24"/>
          <w:szCs w:val="24"/>
        </w:rPr>
      </w:pPr>
    </w:p>
    <w:p w:rsidR="002D4569" w:rsidRDefault="00292AD8">
      <w:pPr>
        <w:numPr>
          <w:ilvl w:val="0"/>
          <w:numId w:val="1"/>
        </w:numPr>
        <w:tabs>
          <w:tab w:val="left" w:pos="760"/>
        </w:tabs>
        <w:ind w:left="760" w:hanging="204"/>
        <w:rPr>
          <w:rFonts w:eastAsia="Times New Roman"/>
          <w:b/>
          <w:bCs/>
          <w:sz w:val="24"/>
          <w:szCs w:val="24"/>
        </w:rPr>
      </w:pPr>
      <w:r>
        <w:rPr>
          <w:rFonts w:eastAsia="Times New Roman"/>
          <w:b/>
          <w:bCs/>
          <w:sz w:val="24"/>
          <w:szCs w:val="24"/>
        </w:rPr>
        <w:t>informacím</w:t>
      </w:r>
    </w:p>
    <w:p w:rsidR="002D4569" w:rsidRDefault="002D4569">
      <w:pPr>
        <w:spacing w:line="339" w:lineRule="exact"/>
        <w:rPr>
          <w:sz w:val="24"/>
          <w:szCs w:val="24"/>
        </w:rPr>
      </w:pPr>
    </w:p>
    <w:p w:rsidR="002D4569" w:rsidRDefault="00292AD8">
      <w:pPr>
        <w:spacing w:line="252" w:lineRule="auto"/>
        <w:ind w:right="20" w:firstLine="360"/>
        <w:jc w:val="both"/>
        <w:rPr>
          <w:sz w:val="20"/>
          <w:szCs w:val="20"/>
        </w:rPr>
      </w:pPr>
      <w:r>
        <w:rPr>
          <w:rFonts w:eastAsia="Times New Roman"/>
          <w:sz w:val="24"/>
          <w:szCs w:val="24"/>
        </w:rPr>
        <w:t xml:space="preserve">Tímto v souladu s ust. § 14 zák. č. 106/1999 Sb., o svobodném přístupu k informacím (dále jen </w:t>
      </w:r>
      <w:r>
        <w:rPr>
          <w:rFonts w:eastAsia="Times New Roman"/>
          <w:sz w:val="24"/>
          <w:szCs w:val="24"/>
        </w:rPr>
        <w:t>„InfZ“),</w:t>
      </w:r>
    </w:p>
    <w:p w:rsidR="002D4569" w:rsidRDefault="002D4569">
      <w:pPr>
        <w:spacing w:line="323" w:lineRule="exact"/>
        <w:rPr>
          <w:sz w:val="24"/>
          <w:szCs w:val="24"/>
        </w:rPr>
      </w:pPr>
    </w:p>
    <w:p w:rsidR="002D4569" w:rsidRDefault="00292AD8">
      <w:pPr>
        <w:ind w:right="-359"/>
        <w:jc w:val="center"/>
        <w:rPr>
          <w:sz w:val="20"/>
          <w:szCs w:val="20"/>
        </w:rPr>
      </w:pPr>
      <w:r>
        <w:rPr>
          <w:rFonts w:eastAsia="Times New Roman"/>
          <w:b/>
          <w:bCs/>
          <w:sz w:val="24"/>
          <w:szCs w:val="24"/>
        </w:rPr>
        <w:t>žádám</w:t>
      </w:r>
    </w:p>
    <w:p w:rsidR="002D4569" w:rsidRDefault="002D4569">
      <w:pPr>
        <w:spacing w:line="339" w:lineRule="exact"/>
        <w:rPr>
          <w:sz w:val="24"/>
          <w:szCs w:val="24"/>
        </w:rPr>
      </w:pPr>
    </w:p>
    <w:p w:rsidR="002D4569" w:rsidRDefault="00292AD8">
      <w:pPr>
        <w:spacing w:line="258" w:lineRule="auto"/>
        <w:ind w:firstLine="360"/>
        <w:jc w:val="both"/>
        <w:rPr>
          <w:sz w:val="20"/>
          <w:szCs w:val="20"/>
        </w:rPr>
      </w:pPr>
      <w:r>
        <w:rPr>
          <w:rFonts w:eastAsia="Times New Roman"/>
          <w:sz w:val="24"/>
          <w:szCs w:val="24"/>
        </w:rPr>
        <w:t>o zaslání kompletní kopie spisového materiálu, vedeného výše uvedeným správním orgánem pod výše uvedeným číslem jednacím, a to ve lhůtě do 15 dnů (§ 14 odst. 5 písm. d) InfZ) prostřednictvím datové schránky (§ 4 odst. 5 InfZ).</w:t>
      </w:r>
    </w:p>
    <w:p w:rsidR="002D4569" w:rsidRDefault="002D4569">
      <w:pPr>
        <w:spacing w:line="312" w:lineRule="exact"/>
        <w:rPr>
          <w:sz w:val="24"/>
          <w:szCs w:val="24"/>
        </w:rPr>
      </w:pPr>
    </w:p>
    <w:p w:rsidR="002D4569" w:rsidRDefault="00292AD8">
      <w:pPr>
        <w:ind w:left="360"/>
        <w:rPr>
          <w:sz w:val="20"/>
          <w:szCs w:val="20"/>
        </w:rPr>
      </w:pPr>
      <w:r>
        <w:rPr>
          <w:rFonts w:eastAsia="Times New Roman"/>
          <w:sz w:val="24"/>
          <w:szCs w:val="24"/>
        </w:rPr>
        <w:t>K dané žádo</w:t>
      </w:r>
      <w:r>
        <w:rPr>
          <w:rFonts w:eastAsia="Times New Roman"/>
          <w:sz w:val="24"/>
          <w:szCs w:val="24"/>
        </w:rPr>
        <w:t>sti dále uvádím následující:</w:t>
      </w:r>
    </w:p>
    <w:p w:rsidR="002D4569" w:rsidRDefault="002D4569">
      <w:pPr>
        <w:spacing w:line="344" w:lineRule="exact"/>
        <w:rPr>
          <w:sz w:val="24"/>
          <w:szCs w:val="24"/>
        </w:rPr>
      </w:pPr>
    </w:p>
    <w:p w:rsidR="002D4569" w:rsidRDefault="00292AD8">
      <w:pPr>
        <w:spacing w:line="262" w:lineRule="auto"/>
        <w:ind w:firstLine="360"/>
        <w:jc w:val="both"/>
        <w:rPr>
          <w:sz w:val="20"/>
          <w:szCs w:val="20"/>
        </w:rPr>
      </w:pPr>
      <w:r>
        <w:rPr>
          <w:rFonts w:eastAsia="Times New Roman"/>
          <w:sz w:val="24"/>
          <w:szCs w:val="24"/>
        </w:rPr>
        <w:t>Podle ust. § 2 odst. 3 InfZ se zákon nevztahuje na poskytování informací, „</w:t>
      </w:r>
      <w:r>
        <w:rPr>
          <w:rFonts w:eastAsia="Times New Roman"/>
          <w:i/>
          <w:iCs/>
          <w:sz w:val="24"/>
          <w:szCs w:val="24"/>
        </w:rPr>
        <w:t>pokud zvláštní</w:t>
      </w:r>
      <w:r>
        <w:rPr>
          <w:rFonts w:eastAsia="Times New Roman"/>
          <w:sz w:val="24"/>
          <w:szCs w:val="24"/>
        </w:rPr>
        <w:t xml:space="preserve"> </w:t>
      </w:r>
      <w:r>
        <w:rPr>
          <w:rFonts w:eastAsia="Times New Roman"/>
          <w:i/>
          <w:iCs/>
          <w:sz w:val="24"/>
          <w:szCs w:val="24"/>
        </w:rPr>
        <w:t>zákon upravuje jejich poskytování, zejména vyřízení žádosti včetně náležitostí a způsobu podání žádosti, lhůt, opravných prostředků a zp</w:t>
      </w:r>
      <w:r>
        <w:rPr>
          <w:rFonts w:eastAsia="Times New Roman"/>
          <w:i/>
          <w:iCs/>
          <w:sz w:val="24"/>
          <w:szCs w:val="24"/>
        </w:rPr>
        <w:t>ůsobu poskytnutí informací</w:t>
      </w:r>
      <w:r>
        <w:rPr>
          <w:rFonts w:eastAsia="Times New Roman"/>
          <w:sz w:val="24"/>
          <w:szCs w:val="24"/>
        </w:rPr>
        <w:t>“.</w:t>
      </w:r>
      <w:r>
        <w:rPr>
          <w:rFonts w:eastAsia="Times New Roman"/>
          <w:i/>
          <w:iCs/>
          <w:sz w:val="24"/>
          <w:szCs w:val="24"/>
        </w:rPr>
        <w:t xml:space="preserve"> </w:t>
      </w:r>
      <w:r>
        <w:rPr>
          <w:rFonts w:eastAsia="Times New Roman"/>
          <w:sz w:val="24"/>
          <w:szCs w:val="24"/>
        </w:rPr>
        <w:t>Je tedy zřejmé,</w:t>
      </w:r>
      <w:r>
        <w:rPr>
          <w:rFonts w:eastAsia="Times New Roman"/>
          <w:i/>
          <w:iCs/>
          <w:sz w:val="24"/>
          <w:szCs w:val="24"/>
        </w:rPr>
        <w:t xml:space="preserve"> </w:t>
      </w:r>
      <w:r>
        <w:rPr>
          <w:rFonts w:eastAsia="Times New Roman"/>
          <w:sz w:val="24"/>
          <w:szCs w:val="24"/>
        </w:rPr>
        <w:t>že InfZ není aplikovatelný pouze v případě, že zvláštní právní předpis stanoví jinou komplexní úpravu podmínek a provedení práva na informace (viz např. rozsudek Krajského soudu v Plzni ze dne 30. března 2007, č</w:t>
      </w:r>
      <w:r>
        <w:rPr>
          <w:rFonts w:eastAsia="Times New Roman"/>
          <w:sz w:val="24"/>
          <w:szCs w:val="24"/>
        </w:rPr>
        <w:t>.j. 57 Ca 87/2005-41).</w:t>
      </w:r>
    </w:p>
    <w:p w:rsidR="002D4569" w:rsidRDefault="002D4569">
      <w:pPr>
        <w:spacing w:line="14" w:lineRule="exact"/>
        <w:rPr>
          <w:sz w:val="24"/>
          <w:szCs w:val="24"/>
        </w:rPr>
      </w:pPr>
    </w:p>
    <w:p w:rsidR="002D4569" w:rsidRDefault="00292AD8">
      <w:pPr>
        <w:spacing w:line="263" w:lineRule="auto"/>
        <w:ind w:firstLine="360"/>
        <w:jc w:val="both"/>
        <w:rPr>
          <w:sz w:val="20"/>
          <w:szCs w:val="20"/>
        </w:rPr>
      </w:pPr>
      <w:r>
        <w:rPr>
          <w:rFonts w:eastAsia="Times New Roman"/>
          <w:sz w:val="24"/>
          <w:szCs w:val="24"/>
        </w:rPr>
        <w:t>Ustanovení správního řádu o nahlížení do spisu potřebný komplexní charakter nevykazují; oba instituty navíc mají odlišnou právní povahu. Zatímco postup žadatele o informace v režimu InfZ je realizací hmotného práva, garantovaného př</w:t>
      </w:r>
      <w:r>
        <w:rPr>
          <w:rFonts w:eastAsia="Times New Roman"/>
          <w:sz w:val="24"/>
          <w:szCs w:val="24"/>
        </w:rPr>
        <w:t>edpisy ústavního pořádku (čl. 17 Listiny), úprava správního řádu, jakožto procesního předpisu, stanoví postup uplatnění procesního práva účastníků řízení (a za stanovených podmínek jiných osob) seznámit se s obsahem spisu formou (fyzického) nahlédnutí. Tak</w:t>
      </w:r>
      <w:r>
        <w:rPr>
          <w:rFonts w:eastAsia="Times New Roman"/>
          <w:sz w:val="24"/>
          <w:szCs w:val="24"/>
        </w:rPr>
        <w:t xml:space="preserve">ová procesní úprava proto nijak nevylučuje možnost uplatnění hmotného práva na informace cestou podání žádosti dle InfZ, jejímž předmětem je obdržení požadovaných informací jinou formou než fyzickým nahlédnutím u správního orgánu. </w:t>
      </w:r>
      <w:r>
        <w:rPr>
          <w:rFonts w:eastAsia="Times New Roman"/>
          <w:b/>
          <w:bCs/>
          <w:sz w:val="24"/>
          <w:szCs w:val="24"/>
        </w:rPr>
        <w:t>Správní řád je proto ve v</w:t>
      </w:r>
      <w:r>
        <w:rPr>
          <w:rFonts w:eastAsia="Times New Roman"/>
          <w:b/>
          <w:bCs/>
          <w:sz w:val="24"/>
          <w:szCs w:val="24"/>
        </w:rPr>
        <w:t>ztahu k InfZ zvláštní úpravou pouze ve</w:t>
      </w:r>
      <w:r>
        <w:rPr>
          <w:rFonts w:eastAsia="Times New Roman"/>
          <w:sz w:val="24"/>
          <w:szCs w:val="24"/>
        </w:rPr>
        <w:t xml:space="preserve"> </w:t>
      </w:r>
      <w:r>
        <w:rPr>
          <w:rFonts w:eastAsia="Times New Roman"/>
          <w:b/>
          <w:bCs/>
          <w:sz w:val="24"/>
          <w:szCs w:val="24"/>
        </w:rPr>
        <w:t xml:space="preserve">vztahu k nahlížení do spisu a uplatní se proto jen v případě žádosti, které jsou svým obsahem žádostmi o nahlédnutí do spisu </w:t>
      </w:r>
      <w:r>
        <w:rPr>
          <w:rFonts w:eastAsia="Times New Roman"/>
          <w:sz w:val="24"/>
          <w:szCs w:val="24"/>
        </w:rPr>
        <w:t>(rozhodnutí</w:t>
      </w:r>
      <w:r>
        <w:rPr>
          <w:rFonts w:eastAsia="Times New Roman"/>
          <w:b/>
          <w:bCs/>
          <w:sz w:val="24"/>
          <w:szCs w:val="24"/>
        </w:rPr>
        <w:t xml:space="preserve"> </w:t>
      </w:r>
      <w:r>
        <w:rPr>
          <w:rFonts w:eastAsia="Times New Roman"/>
          <w:sz w:val="24"/>
          <w:szCs w:val="24"/>
        </w:rPr>
        <w:t>Nejvyššího správního soudu ze dne</w:t>
      </w:r>
      <w:r>
        <w:rPr>
          <w:rFonts w:eastAsia="Times New Roman"/>
          <w:b/>
          <w:bCs/>
          <w:sz w:val="24"/>
          <w:szCs w:val="24"/>
        </w:rPr>
        <w:t xml:space="preserve"> </w:t>
      </w:r>
      <w:r>
        <w:rPr>
          <w:rFonts w:eastAsia="Times New Roman"/>
          <w:sz w:val="24"/>
          <w:szCs w:val="24"/>
        </w:rPr>
        <w:t>27. ledna 2004, č.j. 5A 158/2001-100).</w:t>
      </w:r>
    </w:p>
    <w:p w:rsidR="002D4569" w:rsidRDefault="002D4569">
      <w:pPr>
        <w:spacing w:line="20" w:lineRule="exact"/>
        <w:rPr>
          <w:sz w:val="24"/>
          <w:szCs w:val="24"/>
        </w:rPr>
      </w:pPr>
    </w:p>
    <w:p w:rsidR="002D4569" w:rsidRDefault="00292AD8">
      <w:pPr>
        <w:spacing w:line="254" w:lineRule="auto"/>
        <w:ind w:firstLine="360"/>
        <w:jc w:val="both"/>
        <w:rPr>
          <w:sz w:val="20"/>
          <w:szCs w:val="20"/>
        </w:rPr>
      </w:pPr>
      <w:r>
        <w:rPr>
          <w:rFonts w:eastAsia="Times New Roman"/>
          <w:b/>
          <w:bCs/>
          <w:sz w:val="24"/>
          <w:szCs w:val="24"/>
        </w:rPr>
        <w:t>Požaduje-li naproti tomu žadatel s odkazem na InfZ poskytnutí informací ze správního spisu jinou formou (zasláním kopií listin či sdělením konkrétních údajů),</w:t>
      </w:r>
    </w:p>
    <w:p w:rsidR="002D4569" w:rsidRDefault="002D4569">
      <w:pPr>
        <w:sectPr w:rsidR="002D4569">
          <w:pgSz w:w="11900" w:h="16838"/>
          <w:pgMar w:top="1432" w:right="1406" w:bottom="151" w:left="1420" w:header="0" w:footer="0" w:gutter="0"/>
          <w:cols w:space="708" w:equalWidth="0">
            <w:col w:w="9080"/>
          </w:cols>
        </w:sectPr>
      </w:pPr>
    </w:p>
    <w:p w:rsidR="002D4569" w:rsidRDefault="002D4569">
      <w:pPr>
        <w:spacing w:line="200" w:lineRule="exact"/>
        <w:rPr>
          <w:sz w:val="24"/>
          <w:szCs w:val="24"/>
        </w:rPr>
      </w:pPr>
    </w:p>
    <w:p w:rsidR="002D4569" w:rsidRDefault="002D4569">
      <w:pPr>
        <w:spacing w:line="200" w:lineRule="exact"/>
        <w:rPr>
          <w:sz w:val="24"/>
          <w:szCs w:val="24"/>
        </w:rPr>
      </w:pPr>
    </w:p>
    <w:p w:rsidR="002D4569" w:rsidRDefault="002D4569">
      <w:pPr>
        <w:spacing w:line="369" w:lineRule="exact"/>
        <w:rPr>
          <w:sz w:val="24"/>
          <w:szCs w:val="24"/>
        </w:rPr>
      </w:pPr>
    </w:p>
    <w:p w:rsidR="002D4569" w:rsidRDefault="00292AD8">
      <w:pPr>
        <w:jc w:val="center"/>
        <w:rPr>
          <w:sz w:val="20"/>
          <w:szCs w:val="20"/>
        </w:rPr>
      </w:pPr>
      <w:r>
        <w:rPr>
          <w:rFonts w:eastAsia="Times New Roman"/>
          <w:sz w:val="23"/>
          <w:szCs w:val="23"/>
        </w:rPr>
        <w:t>- 1 -</w:t>
      </w:r>
    </w:p>
    <w:p w:rsidR="002D4569" w:rsidRDefault="002D4569">
      <w:pPr>
        <w:sectPr w:rsidR="002D4569">
          <w:type w:val="continuous"/>
          <w:pgSz w:w="11900" w:h="16838"/>
          <w:pgMar w:top="1432" w:right="1406" w:bottom="151" w:left="1420" w:header="0" w:footer="0" w:gutter="0"/>
          <w:cols w:space="708" w:equalWidth="0">
            <w:col w:w="9080"/>
          </w:cols>
        </w:sectPr>
      </w:pPr>
    </w:p>
    <w:p w:rsidR="002D4569" w:rsidRDefault="002D4569">
      <w:pPr>
        <w:spacing w:line="5" w:lineRule="exact"/>
        <w:rPr>
          <w:sz w:val="20"/>
          <w:szCs w:val="20"/>
        </w:rPr>
      </w:pPr>
      <w:bookmarkStart w:id="1" w:name="page2"/>
      <w:bookmarkEnd w:id="1"/>
    </w:p>
    <w:p w:rsidR="002D4569" w:rsidRDefault="00292AD8">
      <w:pPr>
        <w:spacing w:line="252" w:lineRule="auto"/>
        <w:jc w:val="both"/>
        <w:rPr>
          <w:sz w:val="20"/>
          <w:szCs w:val="20"/>
        </w:rPr>
      </w:pPr>
      <w:r>
        <w:rPr>
          <w:rFonts w:eastAsia="Times New Roman"/>
          <w:b/>
          <w:bCs/>
          <w:sz w:val="24"/>
          <w:szCs w:val="24"/>
        </w:rPr>
        <w:t xml:space="preserve">uplatní se plně režim vyřízení žádosti stanovený InfZ </w:t>
      </w:r>
      <w:r>
        <w:rPr>
          <w:rFonts w:eastAsia="Times New Roman"/>
          <w:sz w:val="24"/>
          <w:szCs w:val="24"/>
        </w:rPr>
        <w:t>(rozhodnutí</w:t>
      </w:r>
      <w:r>
        <w:rPr>
          <w:rFonts w:eastAsia="Times New Roman"/>
          <w:b/>
          <w:bCs/>
          <w:sz w:val="24"/>
          <w:szCs w:val="24"/>
        </w:rPr>
        <w:t xml:space="preserve"> </w:t>
      </w:r>
      <w:r>
        <w:rPr>
          <w:rFonts w:eastAsia="Times New Roman"/>
          <w:sz w:val="24"/>
          <w:szCs w:val="24"/>
        </w:rPr>
        <w:t>Nejvyššího správního</w:t>
      </w:r>
      <w:r>
        <w:rPr>
          <w:rFonts w:eastAsia="Times New Roman"/>
          <w:b/>
          <w:bCs/>
          <w:sz w:val="24"/>
          <w:szCs w:val="24"/>
        </w:rPr>
        <w:t xml:space="preserve"> </w:t>
      </w:r>
      <w:r>
        <w:rPr>
          <w:rFonts w:eastAsia="Times New Roman"/>
          <w:sz w:val="24"/>
          <w:szCs w:val="24"/>
        </w:rPr>
        <w:t>soudu ze dne 13. prosince 2006 č.j. 5 As 3/2006-70).</w:t>
      </w:r>
    </w:p>
    <w:p w:rsidR="002D4569" w:rsidRDefault="002D4569">
      <w:pPr>
        <w:spacing w:line="330" w:lineRule="exact"/>
        <w:rPr>
          <w:sz w:val="20"/>
          <w:szCs w:val="20"/>
        </w:rPr>
      </w:pPr>
    </w:p>
    <w:p w:rsidR="002D4569" w:rsidRDefault="00292AD8">
      <w:pPr>
        <w:spacing w:line="254" w:lineRule="auto"/>
        <w:ind w:right="20" w:firstLine="360"/>
        <w:jc w:val="both"/>
        <w:rPr>
          <w:sz w:val="20"/>
          <w:szCs w:val="20"/>
        </w:rPr>
      </w:pPr>
      <w:r>
        <w:rPr>
          <w:rFonts w:eastAsia="Times New Roman"/>
          <w:sz w:val="24"/>
          <w:szCs w:val="24"/>
        </w:rPr>
        <w:t>Povinný subjekt je povinen doručovat do datové schránky. Např. Nejvyšší správní soud ve svém rozsudku č.j. 4 As 32/</w:t>
      </w:r>
      <w:r>
        <w:rPr>
          <w:rFonts w:eastAsia="Times New Roman"/>
          <w:sz w:val="24"/>
          <w:szCs w:val="24"/>
        </w:rPr>
        <w:t>2013 – 44 ze dne 29.5.2013 uvedl:</w:t>
      </w:r>
    </w:p>
    <w:p w:rsidR="002D4569" w:rsidRDefault="002D4569">
      <w:pPr>
        <w:spacing w:line="23" w:lineRule="exact"/>
        <w:rPr>
          <w:sz w:val="20"/>
          <w:szCs w:val="20"/>
        </w:rPr>
      </w:pPr>
    </w:p>
    <w:p w:rsidR="002D4569" w:rsidRDefault="00292AD8">
      <w:pPr>
        <w:spacing w:line="263" w:lineRule="auto"/>
        <w:ind w:firstLine="360"/>
        <w:jc w:val="both"/>
        <w:rPr>
          <w:sz w:val="20"/>
          <w:szCs w:val="20"/>
        </w:rPr>
      </w:pPr>
      <w:r>
        <w:rPr>
          <w:rFonts w:eastAsia="Times New Roman"/>
          <w:sz w:val="24"/>
          <w:szCs w:val="24"/>
        </w:rPr>
        <w:t xml:space="preserve">Jak správně krajský soud konstatoval v napadeném rozsudku, </w:t>
      </w:r>
      <w:r>
        <w:rPr>
          <w:rFonts w:eastAsia="Times New Roman"/>
          <w:b/>
          <w:bCs/>
          <w:sz w:val="24"/>
          <w:szCs w:val="24"/>
        </w:rPr>
        <w:t>z § 19 odst. 1 správního</w:t>
      </w:r>
      <w:r>
        <w:rPr>
          <w:rFonts w:eastAsia="Times New Roman"/>
          <w:sz w:val="24"/>
          <w:szCs w:val="24"/>
        </w:rPr>
        <w:t xml:space="preserve"> </w:t>
      </w:r>
      <w:r>
        <w:rPr>
          <w:rFonts w:eastAsia="Times New Roman"/>
          <w:b/>
          <w:bCs/>
          <w:sz w:val="24"/>
          <w:szCs w:val="24"/>
        </w:rPr>
        <w:t xml:space="preserve">řádu vyplývá, že správní orgán je povinen doručovat účastníkovi prostřednictvím veřejné datové sítě do datové schránky </w:t>
      </w:r>
      <w:r>
        <w:rPr>
          <w:rFonts w:eastAsia="Times New Roman"/>
          <w:sz w:val="24"/>
          <w:szCs w:val="24"/>
        </w:rPr>
        <w:t>a k doručování pro</w:t>
      </w:r>
      <w:r>
        <w:rPr>
          <w:rFonts w:eastAsia="Times New Roman"/>
          <w:sz w:val="24"/>
          <w:szCs w:val="24"/>
        </w:rPr>
        <w:t>střednictvím provozovatele</w:t>
      </w:r>
      <w:r>
        <w:rPr>
          <w:rFonts w:eastAsia="Times New Roman"/>
          <w:b/>
          <w:bCs/>
          <w:sz w:val="24"/>
          <w:szCs w:val="24"/>
        </w:rPr>
        <w:t xml:space="preserve"> </w:t>
      </w:r>
      <w:r>
        <w:rPr>
          <w:rFonts w:eastAsia="Times New Roman"/>
          <w:sz w:val="24"/>
          <w:szCs w:val="24"/>
        </w:rPr>
        <w:t>poštovních služeb může správní orgán přistoupit toliko, pokud doručení do datové schránky není možné. ... Pokud si adresát zřídí datovou schránku, povinnost kontrolovat poštu na adrese trvalého pobytu (či adrese pro doručování) z</w:t>
      </w:r>
      <w:r>
        <w:rPr>
          <w:rFonts w:eastAsia="Times New Roman"/>
          <w:sz w:val="24"/>
          <w:szCs w:val="24"/>
        </w:rPr>
        <w:t>aniká, neboť je oprávněn spoléhat, že orgány veřejné moci v souladu se zákonem budou veškeré písemnosti doručovat do datové schránky.</w:t>
      </w:r>
    </w:p>
    <w:p w:rsidR="002D4569" w:rsidRDefault="002D4569">
      <w:pPr>
        <w:sectPr w:rsidR="002D4569">
          <w:pgSz w:w="11900" w:h="16838"/>
          <w:pgMar w:top="1440" w:right="1406" w:bottom="151" w:left="1420" w:header="0" w:footer="0" w:gutter="0"/>
          <w:cols w:space="708" w:equalWidth="0">
            <w:col w:w="9080"/>
          </w:cols>
        </w:sect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200" w:lineRule="exact"/>
        <w:rPr>
          <w:sz w:val="20"/>
          <w:szCs w:val="20"/>
        </w:rPr>
      </w:pPr>
    </w:p>
    <w:p w:rsidR="002D4569" w:rsidRDefault="002D4569">
      <w:pPr>
        <w:spacing w:line="380" w:lineRule="exact"/>
        <w:rPr>
          <w:sz w:val="20"/>
          <w:szCs w:val="20"/>
        </w:rPr>
      </w:pPr>
    </w:p>
    <w:p w:rsidR="002D4569" w:rsidRDefault="00292AD8">
      <w:pPr>
        <w:jc w:val="center"/>
        <w:rPr>
          <w:sz w:val="20"/>
          <w:szCs w:val="20"/>
        </w:rPr>
      </w:pPr>
      <w:r>
        <w:rPr>
          <w:rFonts w:eastAsia="Times New Roman"/>
          <w:sz w:val="23"/>
          <w:szCs w:val="23"/>
        </w:rPr>
        <w:t>- 2 -</w:t>
      </w:r>
    </w:p>
    <w:sectPr w:rsidR="002D4569">
      <w:type w:val="continuous"/>
      <w:pgSz w:w="11900" w:h="16838"/>
      <w:pgMar w:top="1440" w:right="1406" w:bottom="151"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B6B6F0C4"/>
    <w:lvl w:ilvl="0" w:tplc="2BAE2A30">
      <w:start w:val="11"/>
      <w:numFmt w:val="lowerLetter"/>
      <w:lvlText w:val="%1"/>
      <w:lvlJc w:val="left"/>
    </w:lvl>
    <w:lvl w:ilvl="1" w:tplc="F18AC980">
      <w:numFmt w:val="decimal"/>
      <w:lvlText w:val=""/>
      <w:lvlJc w:val="left"/>
    </w:lvl>
    <w:lvl w:ilvl="2" w:tplc="C7E8C788">
      <w:numFmt w:val="decimal"/>
      <w:lvlText w:val=""/>
      <w:lvlJc w:val="left"/>
    </w:lvl>
    <w:lvl w:ilvl="3" w:tplc="3E3AABF8">
      <w:numFmt w:val="decimal"/>
      <w:lvlText w:val=""/>
      <w:lvlJc w:val="left"/>
    </w:lvl>
    <w:lvl w:ilvl="4" w:tplc="B9E4EB9E">
      <w:numFmt w:val="decimal"/>
      <w:lvlText w:val=""/>
      <w:lvlJc w:val="left"/>
    </w:lvl>
    <w:lvl w:ilvl="5" w:tplc="CB3C3B6A">
      <w:numFmt w:val="decimal"/>
      <w:lvlText w:val=""/>
      <w:lvlJc w:val="left"/>
    </w:lvl>
    <w:lvl w:ilvl="6" w:tplc="C9B82904">
      <w:numFmt w:val="decimal"/>
      <w:lvlText w:val=""/>
      <w:lvlJc w:val="left"/>
    </w:lvl>
    <w:lvl w:ilvl="7" w:tplc="E00825A2">
      <w:numFmt w:val="decimal"/>
      <w:lvlText w:val=""/>
      <w:lvlJc w:val="left"/>
    </w:lvl>
    <w:lvl w:ilvl="8" w:tplc="1390E0B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69"/>
    <w:rsid w:val="00292AD8"/>
    <w:rsid w:val="002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2841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MMOL</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Koňaříková Nikola</cp:lastModifiedBy>
  <cp:revision>2</cp:revision>
  <dcterms:created xsi:type="dcterms:W3CDTF">2020-07-14T12:15:00Z</dcterms:created>
  <dcterms:modified xsi:type="dcterms:W3CDTF">2020-07-14T12:15:00Z</dcterms:modified>
</cp:coreProperties>
</file>