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FA" w:rsidRDefault="00E462FA" w:rsidP="00E462FA">
      <w:pPr>
        <w:pStyle w:val="default"/>
        <w:spacing w:before="0" w:beforeAutospacing="0" w:after="0" w:afterAutospacing="0"/>
        <w:rPr>
          <w:sz w:val="23"/>
          <w:szCs w:val="23"/>
        </w:rPr>
      </w:pPr>
    </w:p>
    <w:p w:rsidR="00E462FA" w:rsidRDefault="00E462FA" w:rsidP="00E462FA">
      <w:pPr>
        <w:pStyle w:val="default"/>
        <w:spacing w:before="0" w:beforeAutospacing="0" w:after="0" w:afterAutospacing="0"/>
        <w:rPr>
          <w:sz w:val="23"/>
          <w:szCs w:val="23"/>
        </w:rPr>
      </w:pPr>
      <w:r>
        <w:rPr>
          <w:sz w:val="23"/>
          <w:szCs w:val="23"/>
        </w:rPr>
        <w:t xml:space="preserve">Ad 1) </w:t>
      </w:r>
    </w:p>
    <w:p w:rsidR="00E462FA" w:rsidRDefault="00E462FA" w:rsidP="00E462FA">
      <w:pPr>
        <w:pStyle w:val="default"/>
        <w:spacing w:before="0" w:beforeAutospacing="0" w:after="0" w:afterAutospacing="0"/>
        <w:jc w:val="both"/>
        <w:rPr>
          <w:sz w:val="23"/>
          <w:szCs w:val="23"/>
        </w:rPr>
      </w:pPr>
      <w:r>
        <w:rPr>
          <w:sz w:val="23"/>
          <w:szCs w:val="23"/>
        </w:rPr>
        <w:t xml:space="preserve">Přílohou Vám zasíláme smlouvu o nájmu nebytových prostor a úhradě služeb spojených s jejich užíváním uzavřenou dne 28. 4. 2000, dodatek č. 1 uzavřený dne 27. 7. 2011, dodatek č. 2 uzavřený dne 1. 10. 2013 a dodatek č. 3 uzavřený dne 1. 6. 2016. </w:t>
      </w:r>
    </w:p>
    <w:p w:rsidR="00E462FA" w:rsidRDefault="00E462FA" w:rsidP="00E462FA">
      <w:pPr>
        <w:pStyle w:val="default"/>
        <w:spacing w:before="0" w:beforeAutospacing="0" w:after="0" w:afterAutospacing="0"/>
        <w:jc w:val="both"/>
        <w:rPr>
          <w:sz w:val="23"/>
          <w:szCs w:val="23"/>
        </w:rPr>
      </w:pPr>
    </w:p>
    <w:p w:rsidR="00E462FA" w:rsidRDefault="00E462FA" w:rsidP="00E462FA">
      <w:pPr>
        <w:pStyle w:val="default"/>
        <w:spacing w:before="0" w:beforeAutospacing="0" w:after="0" w:afterAutospacing="0"/>
        <w:jc w:val="both"/>
        <w:rPr>
          <w:sz w:val="23"/>
          <w:szCs w:val="23"/>
        </w:rPr>
      </w:pPr>
      <w:r>
        <w:rPr>
          <w:sz w:val="23"/>
          <w:szCs w:val="23"/>
        </w:rPr>
        <w:t xml:space="preserve">Ad 2) </w:t>
      </w:r>
    </w:p>
    <w:p w:rsidR="00E462FA" w:rsidRDefault="00E462FA" w:rsidP="00E462FA">
      <w:pPr>
        <w:jc w:val="both"/>
        <w:rPr>
          <w:sz w:val="23"/>
          <w:szCs w:val="23"/>
        </w:rPr>
      </w:pPr>
      <w:r>
        <w:rPr>
          <w:sz w:val="23"/>
          <w:szCs w:val="23"/>
        </w:rPr>
        <w:t>Informujeme Vás, že dle sdělení správce pronajatého majetku společnosti Správa nemovitostí Olomouc, a.s. (dále jen správce) nájemné hrazené společností Moravská pohřební společnost, s.r.o. za roky 2006 až 2019 činí:</w:t>
      </w:r>
    </w:p>
    <w:p w:rsidR="00E462FA" w:rsidRDefault="00E462FA" w:rsidP="00E462FA"/>
    <w:tbl>
      <w:tblPr>
        <w:tblW w:w="3210" w:type="dxa"/>
        <w:tblInd w:w="60" w:type="dxa"/>
        <w:tblCellMar>
          <w:left w:w="70" w:type="dxa"/>
          <w:right w:w="70" w:type="dxa"/>
        </w:tblCellMar>
        <w:tblLook w:val="04A0" w:firstRow="1" w:lastRow="0" w:firstColumn="1" w:lastColumn="0" w:noHBand="0" w:noVBand="1"/>
      </w:tblPr>
      <w:tblGrid>
        <w:gridCol w:w="1110"/>
        <w:gridCol w:w="2100"/>
      </w:tblGrid>
      <w:tr w:rsidR="00E462FA" w:rsidTr="00E462FA">
        <w:trPr>
          <w:trHeight w:val="315"/>
        </w:trPr>
        <w:tc>
          <w:tcPr>
            <w:tcW w:w="1110" w:type="dxa"/>
            <w:tcBorders>
              <w:top w:val="single" w:sz="4" w:space="0" w:color="auto"/>
              <w:left w:val="single" w:sz="4" w:space="0" w:color="auto"/>
              <w:bottom w:val="single" w:sz="8" w:space="0" w:color="auto"/>
              <w:right w:val="single" w:sz="4" w:space="0" w:color="auto"/>
            </w:tcBorders>
            <w:noWrap/>
            <w:vAlign w:val="bottom"/>
            <w:hideMark/>
          </w:tcPr>
          <w:p w:rsidR="00E462FA" w:rsidRDefault="00E462FA">
            <w:pPr>
              <w:jc w:val="center"/>
              <w:rPr>
                <w:color w:val="000000"/>
              </w:rPr>
            </w:pPr>
            <w:r>
              <w:rPr>
                <w:color w:val="000000"/>
              </w:rPr>
              <w:t>ROK</w:t>
            </w:r>
          </w:p>
        </w:tc>
        <w:tc>
          <w:tcPr>
            <w:tcW w:w="2100" w:type="dxa"/>
            <w:tcBorders>
              <w:top w:val="single" w:sz="4" w:space="0" w:color="auto"/>
              <w:left w:val="nil"/>
              <w:bottom w:val="single" w:sz="8" w:space="0" w:color="auto"/>
              <w:right w:val="single" w:sz="4" w:space="0" w:color="auto"/>
            </w:tcBorders>
            <w:noWrap/>
            <w:vAlign w:val="bottom"/>
            <w:hideMark/>
          </w:tcPr>
          <w:p w:rsidR="00E462FA" w:rsidRDefault="00E462FA">
            <w:pPr>
              <w:jc w:val="center"/>
              <w:rPr>
                <w:color w:val="000000"/>
              </w:rPr>
            </w:pPr>
            <w:r>
              <w:rPr>
                <w:color w:val="000000"/>
              </w:rPr>
              <w:t>NÁJEMNÉ</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2006</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808 320,00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2007</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828 528,00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2008</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851 724,00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2009</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905 376,00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2010</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905 376,00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2011</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980 826,00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2012</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1 086 456,00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2013</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1 131 660,00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2014</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1 448 172,00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2015</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1 448 172,00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2016</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1 448 172,00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2017</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1 448 172,00 Kč</w:t>
            </w:r>
          </w:p>
        </w:tc>
      </w:tr>
      <w:tr w:rsidR="00E462FA" w:rsidTr="00E462FA">
        <w:trPr>
          <w:trHeight w:val="300"/>
        </w:trPr>
        <w:tc>
          <w:tcPr>
            <w:tcW w:w="1110" w:type="dxa"/>
            <w:tcBorders>
              <w:top w:val="nil"/>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2018</w:t>
            </w:r>
          </w:p>
        </w:tc>
        <w:tc>
          <w:tcPr>
            <w:tcW w:w="2100" w:type="dxa"/>
            <w:tcBorders>
              <w:top w:val="nil"/>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1 484 364,00 Kč</w:t>
            </w:r>
          </w:p>
        </w:tc>
      </w:tr>
      <w:tr w:rsidR="00E462FA" w:rsidTr="00E462FA">
        <w:trPr>
          <w:trHeight w:val="315"/>
        </w:trPr>
        <w:tc>
          <w:tcPr>
            <w:tcW w:w="1110" w:type="dxa"/>
            <w:tcBorders>
              <w:top w:val="single" w:sz="4" w:space="0" w:color="auto"/>
              <w:left w:val="single" w:sz="4" w:space="0" w:color="auto"/>
              <w:bottom w:val="single" w:sz="4" w:space="0" w:color="auto"/>
              <w:right w:val="single" w:sz="4" w:space="0" w:color="auto"/>
            </w:tcBorders>
            <w:noWrap/>
            <w:vAlign w:val="bottom"/>
            <w:hideMark/>
          </w:tcPr>
          <w:p w:rsidR="00E462FA" w:rsidRDefault="00E462FA">
            <w:pPr>
              <w:rPr>
                <w:color w:val="000000"/>
              </w:rPr>
            </w:pPr>
            <w:r>
              <w:rPr>
                <w:color w:val="000000"/>
              </w:rPr>
              <w:t>2019</w:t>
            </w:r>
          </w:p>
        </w:tc>
        <w:tc>
          <w:tcPr>
            <w:tcW w:w="2100" w:type="dxa"/>
            <w:tcBorders>
              <w:top w:val="single" w:sz="4" w:space="0" w:color="auto"/>
              <w:left w:val="nil"/>
              <w:bottom w:val="single" w:sz="4" w:space="0" w:color="auto"/>
              <w:right w:val="single" w:sz="4" w:space="0" w:color="auto"/>
            </w:tcBorders>
            <w:noWrap/>
            <w:vAlign w:val="bottom"/>
            <w:hideMark/>
          </w:tcPr>
          <w:p w:rsidR="00E462FA" w:rsidRDefault="00E462FA">
            <w:pPr>
              <w:jc w:val="right"/>
              <w:rPr>
                <w:color w:val="000000"/>
              </w:rPr>
            </w:pPr>
            <w:r>
              <w:rPr>
                <w:color w:val="000000"/>
              </w:rPr>
              <w:t>1 515 539,88 Kč</w:t>
            </w:r>
          </w:p>
        </w:tc>
      </w:tr>
    </w:tbl>
    <w:p w:rsidR="00E462FA" w:rsidRDefault="00E462FA" w:rsidP="00E462FA"/>
    <w:p w:rsidR="00E462FA" w:rsidRDefault="00E462FA" w:rsidP="00E462FA">
      <w:pPr>
        <w:pStyle w:val="default"/>
        <w:spacing w:before="0" w:beforeAutospacing="0" w:after="0" w:afterAutospacing="0"/>
        <w:jc w:val="both"/>
        <w:rPr>
          <w:sz w:val="23"/>
          <w:szCs w:val="23"/>
        </w:rPr>
      </w:pPr>
      <w:r>
        <w:rPr>
          <w:sz w:val="23"/>
          <w:szCs w:val="23"/>
        </w:rPr>
        <w:t xml:space="preserve">K Vašemu dotazu jakou sumu společnost Moravská pohřební společnost, s.r.o. </w:t>
      </w:r>
      <w:proofErr w:type="gramStart"/>
      <w:r>
        <w:rPr>
          <w:sz w:val="23"/>
          <w:szCs w:val="23"/>
        </w:rPr>
        <w:t>investovala</w:t>
      </w:r>
      <w:proofErr w:type="gramEnd"/>
      <w:r>
        <w:rPr>
          <w:sz w:val="23"/>
          <w:szCs w:val="23"/>
        </w:rPr>
        <w:t xml:space="preserve"> do pronajatého majetku Vám </w:t>
      </w:r>
      <w:proofErr w:type="gramStart"/>
      <w:r>
        <w:rPr>
          <w:sz w:val="23"/>
          <w:szCs w:val="23"/>
        </w:rPr>
        <w:t>sdělujeme</w:t>
      </w:r>
      <w:proofErr w:type="gramEnd"/>
      <w:r>
        <w:rPr>
          <w:sz w:val="23"/>
          <w:szCs w:val="23"/>
        </w:rPr>
        <w:t xml:space="preserve">, že dle důvodové zprávy pro jednání Rady města Olomouce dne 24. 9. 2013, kterou Vám zasíláme přílohou, společnost Moravská pohřební společnost, s.r.o. v roce 2004 provedla generální opravu kremačních pecí ve výši 5.355.000,- Kč a plánovala generální opravu dvoukomorové kremační pece v roce 2014 v celkovém nákladu 7.800.000,- Kč. Dále Rada města Olomouce na svém jednání dne 27. 1. 2014 souhlasila s návrhem estetické úpravy obřadní síně krematoria, jejíž náklady dle sdělení společnosti Moravská pohřební společnost, s.r.o. měly činit cca 280.000,- Kč. Výše dalších investic nájemce do předmětu nájmu nám není známa. Nájemní smlouva ukládá nájemci zajistit pravidelnou rekonstrukci technologického zařízení, aby odpovídalo platné právní úpravě. Dle sdělení správce předmětu nájmu společnosti Správa nemovitostí Olomouc, a.s. o provedení úprav nájemce správce pravidelně informuje, aniž by uváděl výši nákladů, což nájemní smlouva nájemci neukládá. </w:t>
      </w:r>
    </w:p>
    <w:p w:rsidR="00E462FA" w:rsidRDefault="00E462FA" w:rsidP="00E462FA">
      <w:pPr>
        <w:pStyle w:val="default"/>
        <w:spacing w:before="0" w:beforeAutospacing="0" w:after="0" w:afterAutospacing="0"/>
        <w:jc w:val="both"/>
        <w:rPr>
          <w:sz w:val="23"/>
          <w:szCs w:val="23"/>
        </w:rPr>
      </w:pPr>
    </w:p>
    <w:p w:rsidR="00E462FA" w:rsidRDefault="00E462FA" w:rsidP="00E462FA">
      <w:pPr>
        <w:pStyle w:val="default"/>
        <w:spacing w:before="0" w:beforeAutospacing="0" w:after="0" w:afterAutospacing="0"/>
        <w:rPr>
          <w:sz w:val="23"/>
          <w:szCs w:val="23"/>
        </w:rPr>
      </w:pPr>
      <w:r>
        <w:rPr>
          <w:sz w:val="23"/>
          <w:szCs w:val="23"/>
        </w:rPr>
        <w:t xml:space="preserve">Ad 3) </w:t>
      </w:r>
    </w:p>
    <w:p w:rsidR="00E462FA" w:rsidRDefault="00E462FA" w:rsidP="00E462FA">
      <w:pPr>
        <w:pStyle w:val="default"/>
        <w:spacing w:before="0" w:beforeAutospacing="0" w:after="0" w:afterAutospacing="0"/>
        <w:jc w:val="both"/>
        <w:rPr>
          <w:sz w:val="23"/>
          <w:szCs w:val="23"/>
        </w:rPr>
      </w:pPr>
      <w:r>
        <w:rPr>
          <w:sz w:val="23"/>
          <w:szCs w:val="23"/>
        </w:rPr>
        <w:t xml:space="preserve">Přílohu Vám zasíláme důvodovou zprávu pro 98. schůzi Rady města Olomouce konanou dne </w:t>
      </w:r>
      <w:r>
        <w:rPr>
          <w:sz w:val="23"/>
          <w:szCs w:val="23"/>
        </w:rPr>
        <w:br/>
        <w:t xml:space="preserve">24. 9. 2013, bod 2 Majetkoprávní záležitosti, bod </w:t>
      </w:r>
      <w:proofErr w:type="gramStart"/>
      <w:r>
        <w:rPr>
          <w:sz w:val="23"/>
          <w:szCs w:val="23"/>
        </w:rPr>
        <w:t>1.9. důvodové</w:t>
      </w:r>
      <w:proofErr w:type="gramEnd"/>
      <w:r>
        <w:rPr>
          <w:sz w:val="23"/>
          <w:szCs w:val="23"/>
        </w:rPr>
        <w:t xml:space="preserve"> zprávy. </w:t>
      </w:r>
    </w:p>
    <w:p w:rsidR="00E462FA" w:rsidRDefault="00E462FA" w:rsidP="00E462FA">
      <w:pPr>
        <w:pStyle w:val="default"/>
        <w:spacing w:before="0" w:beforeAutospacing="0" w:after="0" w:afterAutospacing="0"/>
        <w:jc w:val="both"/>
        <w:rPr>
          <w:sz w:val="23"/>
          <w:szCs w:val="23"/>
        </w:rPr>
      </w:pPr>
    </w:p>
    <w:p w:rsidR="00E462FA" w:rsidRDefault="00E462FA" w:rsidP="00E462FA">
      <w:pPr>
        <w:pStyle w:val="default"/>
        <w:spacing w:before="0" w:beforeAutospacing="0" w:after="0" w:afterAutospacing="0"/>
        <w:rPr>
          <w:sz w:val="23"/>
          <w:szCs w:val="23"/>
        </w:rPr>
      </w:pPr>
    </w:p>
    <w:p w:rsidR="00E462FA" w:rsidRDefault="00E462FA" w:rsidP="00E462FA">
      <w:pPr>
        <w:pStyle w:val="default"/>
        <w:spacing w:before="0" w:beforeAutospacing="0" w:after="0" w:afterAutospacing="0"/>
        <w:jc w:val="both"/>
        <w:rPr>
          <w:b/>
          <w:bCs/>
          <w:sz w:val="23"/>
          <w:szCs w:val="23"/>
        </w:rPr>
      </w:pPr>
      <w:r>
        <w:rPr>
          <w:b/>
          <w:bCs/>
          <w:sz w:val="23"/>
          <w:szCs w:val="23"/>
        </w:rPr>
        <w:t>Současně vydává statutární město Olomouc, Magistrát města Olomouce, k žádosti XXXXXX, nar. XXXX, bydlištěm XXXXXXXX, o poskytnutí informace ze dne 30. 10. 2019</w:t>
      </w:r>
      <w:r>
        <w:rPr>
          <w:sz w:val="23"/>
          <w:szCs w:val="23"/>
        </w:rPr>
        <w:t xml:space="preserve">, požadující „poskytnutí kopií všech smluv a jejich dodatků, které uzavřelo statutární město Olomouc či společnost Správa nemovitostí Olomouc, a.s. se společností Moravská pohřební společnost s.r.o. (dále jen MPS) v souvislosti s pronájmem městského majetku MPS, informací o </w:t>
      </w:r>
      <w:r>
        <w:rPr>
          <w:sz w:val="23"/>
          <w:szCs w:val="23"/>
        </w:rPr>
        <w:lastRenderedPageBreak/>
        <w:t xml:space="preserve">tom, kolik společnost MPS zaplatila za pronájem od roku 2000 v jednotlivých letech a jakou sumu investovala do pronajatého majetku dokumentů z jednání rady města (rok 2013), na které bylo schváleno prodloužení nájemní smlouvy s MPS na dalších 10 let“ </w:t>
      </w:r>
      <w:r>
        <w:rPr>
          <w:b/>
          <w:bCs/>
          <w:sz w:val="23"/>
          <w:szCs w:val="23"/>
        </w:rPr>
        <w:t xml:space="preserve">podle ustanovení § 15 odst. 1 zákona č. 106/1999 Sb., o svobodném přístupu k informacím, ve znění pozdějších předpisů, a ustanovení § 67 a násl. zákona č. 500/2004 Sb., správní řád, ve znění pozdějších předpisů, toto </w:t>
      </w:r>
    </w:p>
    <w:p w:rsidR="00E462FA" w:rsidRDefault="00E462FA" w:rsidP="00E462FA">
      <w:pPr>
        <w:pStyle w:val="default"/>
        <w:spacing w:before="0" w:beforeAutospacing="0" w:after="0" w:afterAutospacing="0"/>
        <w:jc w:val="both"/>
        <w:rPr>
          <w:sz w:val="23"/>
          <w:szCs w:val="23"/>
        </w:rPr>
      </w:pPr>
    </w:p>
    <w:p w:rsidR="00E462FA" w:rsidRDefault="00E462FA" w:rsidP="00E462FA">
      <w:pPr>
        <w:pStyle w:val="default"/>
        <w:spacing w:before="0" w:beforeAutospacing="0" w:after="0" w:afterAutospacing="0"/>
        <w:jc w:val="center"/>
        <w:rPr>
          <w:sz w:val="23"/>
          <w:szCs w:val="23"/>
        </w:rPr>
      </w:pPr>
      <w:r>
        <w:rPr>
          <w:b/>
          <w:bCs/>
          <w:sz w:val="23"/>
          <w:szCs w:val="23"/>
        </w:rPr>
        <w:t>ROZHODNUTÍ:</w:t>
      </w:r>
    </w:p>
    <w:p w:rsidR="00E462FA" w:rsidRDefault="00E462FA" w:rsidP="00E462FA">
      <w:pPr>
        <w:pStyle w:val="default"/>
        <w:spacing w:before="0" w:beforeAutospacing="0" w:after="0" w:afterAutospacing="0"/>
        <w:rPr>
          <w:sz w:val="23"/>
          <w:szCs w:val="23"/>
        </w:rPr>
      </w:pPr>
      <w:r>
        <w:rPr>
          <w:sz w:val="23"/>
          <w:szCs w:val="23"/>
        </w:rPr>
        <w:t xml:space="preserve">Žádost o informace žadatele XXXXXXX, nar. XXXXXX, bydlištěm XXXXXXXX, </w:t>
      </w:r>
      <w:r>
        <w:rPr>
          <w:b/>
          <w:bCs/>
          <w:sz w:val="23"/>
          <w:szCs w:val="23"/>
        </w:rPr>
        <w:t xml:space="preserve">se z části odmítá </w:t>
      </w:r>
      <w:r>
        <w:rPr>
          <w:sz w:val="23"/>
          <w:szCs w:val="23"/>
        </w:rPr>
        <w:t xml:space="preserve">s tím, že </w:t>
      </w:r>
    </w:p>
    <w:p w:rsidR="00E462FA" w:rsidRDefault="00E462FA" w:rsidP="00E462FA">
      <w:pPr>
        <w:pStyle w:val="default"/>
        <w:tabs>
          <w:tab w:val="num" w:pos="360"/>
        </w:tabs>
        <w:spacing w:before="0" w:beforeAutospacing="0" w:after="47" w:afterAutospacing="0"/>
        <w:ind w:left="360" w:hanging="360"/>
        <w:jc w:val="both"/>
        <w:rPr>
          <w:sz w:val="23"/>
          <w:szCs w:val="23"/>
        </w:rPr>
      </w:pPr>
      <w:r>
        <w:rPr>
          <w:rFonts w:ascii="Symbol" w:eastAsia="Symbol" w:hAnsi="Symbol" w:cs="Symbol"/>
          <w:sz w:val="23"/>
          <w:szCs w:val="23"/>
        </w:rPr>
        <w:t></w:t>
      </w:r>
      <w:r>
        <w:rPr>
          <w:rFonts w:eastAsia="Symbol"/>
          <w:sz w:val="14"/>
          <w:szCs w:val="14"/>
        </w:rPr>
        <w:t xml:space="preserve">        </w:t>
      </w:r>
      <w:r>
        <w:rPr>
          <w:sz w:val="23"/>
          <w:szCs w:val="23"/>
        </w:rPr>
        <w:t xml:space="preserve">v dokumentech byly v souladu s § 8a zákona č. 106/1999 Sb., o svobodném přístupu k informacím, ve znění pozdějších předpisů, anonymizovány osobní údaje – podpisy osob, </w:t>
      </w:r>
    </w:p>
    <w:p w:rsidR="00E462FA" w:rsidRDefault="00E462FA" w:rsidP="00E462FA">
      <w:pPr>
        <w:pStyle w:val="default"/>
        <w:tabs>
          <w:tab w:val="num" w:pos="360"/>
        </w:tabs>
        <w:spacing w:before="0" w:beforeAutospacing="0" w:after="0" w:afterAutospacing="0"/>
        <w:ind w:left="360" w:hanging="360"/>
        <w:jc w:val="both"/>
        <w:rPr>
          <w:sz w:val="23"/>
          <w:szCs w:val="23"/>
        </w:rPr>
      </w:pPr>
      <w:r>
        <w:rPr>
          <w:rFonts w:ascii="Symbol" w:eastAsia="Symbol" w:hAnsi="Symbol" w:cs="Symbol"/>
          <w:sz w:val="23"/>
          <w:szCs w:val="23"/>
        </w:rPr>
        <w:t></w:t>
      </w:r>
      <w:r>
        <w:rPr>
          <w:rFonts w:eastAsia="Symbol"/>
          <w:sz w:val="14"/>
          <w:szCs w:val="14"/>
        </w:rPr>
        <w:t xml:space="preserve">        </w:t>
      </w:r>
      <w:r>
        <w:rPr>
          <w:sz w:val="23"/>
          <w:szCs w:val="23"/>
        </w:rPr>
        <w:t xml:space="preserve">neposkytují se informace k dotazu žadatele na výši uhrazeného nájemného za roky 2000 až 2005 a sumu investovanou do pronajatého majetku nájemcem, jelikož těmito informace povinný subjekt nedisponuje. </w:t>
      </w:r>
    </w:p>
    <w:p w:rsidR="00E462FA" w:rsidRDefault="00E462FA" w:rsidP="00E462FA">
      <w:pPr>
        <w:pStyle w:val="default"/>
        <w:spacing w:before="0" w:beforeAutospacing="0" w:after="0" w:afterAutospacing="0"/>
        <w:rPr>
          <w:sz w:val="23"/>
          <w:szCs w:val="23"/>
        </w:rPr>
      </w:pPr>
    </w:p>
    <w:p w:rsidR="00E462FA" w:rsidRDefault="00E462FA" w:rsidP="00E462FA">
      <w:pPr>
        <w:pStyle w:val="default"/>
        <w:spacing w:before="0" w:beforeAutospacing="0" w:after="0" w:afterAutospacing="0"/>
        <w:jc w:val="center"/>
        <w:rPr>
          <w:sz w:val="23"/>
          <w:szCs w:val="23"/>
        </w:rPr>
      </w:pPr>
      <w:r>
        <w:rPr>
          <w:b/>
          <w:bCs/>
          <w:sz w:val="23"/>
          <w:szCs w:val="23"/>
        </w:rPr>
        <w:t>Odůvodnění</w:t>
      </w:r>
    </w:p>
    <w:p w:rsidR="00E462FA" w:rsidRDefault="00E462FA" w:rsidP="00E462FA">
      <w:pPr>
        <w:pStyle w:val="default"/>
        <w:spacing w:before="0" w:beforeAutospacing="0" w:after="0" w:afterAutospacing="0"/>
        <w:jc w:val="both"/>
        <w:rPr>
          <w:sz w:val="23"/>
          <w:szCs w:val="23"/>
        </w:rPr>
      </w:pPr>
      <w:r>
        <w:rPr>
          <w:sz w:val="23"/>
          <w:szCs w:val="23"/>
        </w:rPr>
        <w:t>Dne 30. 10. 2019 statutární město Olomouc obdrželo žádost o poskytnutí informace podle zákona č. 106/1999 Sb., o svobodném přístupu k informacím, ve znění pozdějších předpisů (dále jen „</w:t>
      </w:r>
      <w:proofErr w:type="spellStart"/>
      <w:r>
        <w:rPr>
          <w:sz w:val="23"/>
          <w:szCs w:val="23"/>
        </w:rPr>
        <w:t>InfZ</w:t>
      </w:r>
      <w:proofErr w:type="spellEnd"/>
      <w:r>
        <w:rPr>
          <w:sz w:val="23"/>
          <w:szCs w:val="23"/>
        </w:rPr>
        <w:t xml:space="preserve">“) požadující poskytnutí kopií všech smluv a jejich dodatků, které uzavřelo statutární město Olomouc či společnost Správa nemovitostí Olomouc, a.s. se společností Moravská pohřební společnost s.r.o. (dále jen MPS) v souvislosti s pronájmem městského majetku MPS, informací o tom, kolik společnost MPS zaplatila za pronájem od roku 2000 v jednotlivých letech a jakou sumu investovala do pronajatého majetku dokumentů z jednání rady města (rok 2013), na které bylo schváleno prodloužení nájemní smlouvy s MPS na dalších 10 let. </w:t>
      </w:r>
    </w:p>
    <w:p w:rsidR="00E462FA" w:rsidRDefault="00E462FA" w:rsidP="00E462FA">
      <w:pPr>
        <w:pStyle w:val="default"/>
        <w:spacing w:before="0" w:beforeAutospacing="0" w:after="0" w:afterAutospacing="0"/>
        <w:jc w:val="both"/>
        <w:rPr>
          <w:sz w:val="23"/>
          <w:szCs w:val="23"/>
        </w:rPr>
      </w:pPr>
      <w:r>
        <w:rPr>
          <w:sz w:val="23"/>
          <w:szCs w:val="23"/>
        </w:rPr>
        <w:t xml:space="preserve">Žádost byla posouzena a povinný subjekt dospěl k závěru, že v případě části požadovaných informací jsou dány důvody pro neposkytnutí informace. </w:t>
      </w:r>
    </w:p>
    <w:p w:rsidR="00E462FA" w:rsidRDefault="00E462FA" w:rsidP="00E462FA">
      <w:pPr>
        <w:pStyle w:val="default"/>
        <w:spacing w:before="0" w:beforeAutospacing="0" w:after="0" w:afterAutospacing="0"/>
        <w:jc w:val="both"/>
        <w:rPr>
          <w:sz w:val="23"/>
          <w:szCs w:val="23"/>
        </w:rPr>
      </w:pPr>
      <w:r>
        <w:rPr>
          <w:sz w:val="23"/>
          <w:szCs w:val="23"/>
        </w:rPr>
        <w:t xml:space="preserve">Jelikož dokumenty poskytované žadateli, a to smlouva o nájmu nebytových prostor a úhradě služeb spojených s jejich užíváním uzavřená dne 28. 4. 2000 a její dodatky č. 1 až č. 3, obsahují osobní údaje (podpisy fyzických osob) chráněné podle zákona č. 110/2019 Sb., o zpracování osobních údajů a Nařízení Evropského parlamentu a Rady (EU) 2016/679 ze dne 27. dubna 2016 o ochraně fyzických osob v souvislosti se zpracováním osobních údajů a o volném pohybu těchto údajů a o zrušení směrnice 95/46/ES (Obecné nařízení o ochraně osobních údajů) povinný subjekt poskytnutí informací rozhodnutím částečně odmítá s tím, že v poskytovaných dokumentech byly v souladu s ustanovením § 8a </w:t>
      </w:r>
      <w:proofErr w:type="spellStart"/>
      <w:r>
        <w:rPr>
          <w:sz w:val="23"/>
          <w:szCs w:val="23"/>
        </w:rPr>
        <w:t>InfZ</w:t>
      </w:r>
      <w:proofErr w:type="spellEnd"/>
      <w:r>
        <w:rPr>
          <w:sz w:val="23"/>
          <w:szCs w:val="23"/>
        </w:rPr>
        <w:t xml:space="preserve"> anonymizovány osobní údaje, tj. podpisy fyzických osob. Tyto informace lze poskytnout jen se souhlasem dotčených osob. Jelikož povinný subjekt nemá od dotčených osob souhlas k poskytnutí požadovaných informací, je vůči těmto údajům splněn důvod pro částečné odmítnutí žádosti. </w:t>
      </w:r>
    </w:p>
    <w:p w:rsidR="00E462FA" w:rsidRDefault="00E462FA" w:rsidP="00E462FA">
      <w:pPr>
        <w:pStyle w:val="default"/>
        <w:spacing w:before="0" w:beforeAutospacing="0" w:after="0" w:afterAutospacing="0"/>
        <w:jc w:val="both"/>
        <w:rPr>
          <w:sz w:val="23"/>
          <w:szCs w:val="23"/>
        </w:rPr>
      </w:pPr>
      <w:r>
        <w:rPr>
          <w:sz w:val="23"/>
          <w:szCs w:val="23"/>
        </w:rPr>
        <w:t xml:space="preserve">Podle § 3 </w:t>
      </w:r>
      <w:proofErr w:type="spellStart"/>
      <w:r>
        <w:rPr>
          <w:sz w:val="23"/>
          <w:szCs w:val="23"/>
        </w:rPr>
        <w:t>ods</w:t>
      </w:r>
      <w:proofErr w:type="spellEnd"/>
      <w:r>
        <w:rPr>
          <w:sz w:val="23"/>
          <w:szCs w:val="23"/>
        </w:rPr>
        <w:t xml:space="preserve">. 3 </w:t>
      </w:r>
      <w:proofErr w:type="spellStart"/>
      <w:r>
        <w:rPr>
          <w:sz w:val="23"/>
          <w:szCs w:val="23"/>
        </w:rPr>
        <w:t>InfZ</w:t>
      </w:r>
      <w:proofErr w:type="spellEnd"/>
      <w:r>
        <w:rPr>
          <w:sz w:val="23"/>
          <w:szCs w:val="23"/>
        </w:rPr>
        <w:t xml:space="preserve"> se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 Informační povinnost se tedy může vztahovat pouze k těm informacím, kterými povinné subjekty v danou chvíli disponují, tzn. k informacím reálně existujícím. Povinný subjekt v současné době nedisponuje údaji týkajícími se výše uhrazeného nájemného za roky 2000 až 2005 z důvodu, že tyto údaje již nejsou dle sdělení správce předmětu nájmu společnosti Správa nemovitostí Olomouc, a.s. (dále jen správce) archivovány. Dle § 32 odst. 2 písm. b) zákona č. 563/1991 Sb., o účetnictví, ve znění pozdějších předpisů, se účetní doklady, účetní knihy, odpisové plány, inventurní soupisy, účtový rozvrh, přehledy uschovávají po dobu 5 let počínajících koncem účetního období, kterého se týkají, a dále dle § 35 zákona č. 235/2004 Sb., o dani z přidané hodnoty, ve znění pozdějších předpisů, se daňové doklady uchovávají po dobu 10 let od konce zdaňovacího období, ve kterém se plnění uskutečnilo. </w:t>
      </w:r>
    </w:p>
    <w:p w:rsidR="00E462FA" w:rsidRDefault="00E462FA" w:rsidP="00E462FA">
      <w:pPr>
        <w:pStyle w:val="default"/>
        <w:spacing w:before="0" w:beforeAutospacing="0" w:after="0" w:afterAutospacing="0"/>
        <w:jc w:val="both"/>
        <w:rPr>
          <w:sz w:val="23"/>
          <w:szCs w:val="23"/>
        </w:rPr>
      </w:pPr>
      <w:r>
        <w:rPr>
          <w:sz w:val="23"/>
          <w:szCs w:val="23"/>
        </w:rPr>
        <w:lastRenderedPageBreak/>
        <w:t xml:space="preserve">Stejně tak povinný subjekt nedisponuje údaji o výši investice nájemce do předmětu nájmu, kromě informací, které byly žadateli poskytnuty výše v tomto dopisu. Ohledně těchto informací byl obeslán také správce, ale ani tento nemá požadované informace k dispozici. Smlouva o nájmu nebytových prostor a úhradě služeb spojených s jejich užíváním uzavřená dne 28. 4. 2000 ve znění dodatku č. 1 až 3 mimo jiné ukládá nájemci zajistit pravidelnou rekonstrukci technologického zařízení, aby odpovídalo platné právní úpravě. Dle sdělení správce o provedení úprav nájemce správce pravidelně informuje, aniž by uváděl výši nákladů, což uvedená nájemní smlouva nájemci neukládá. </w:t>
      </w:r>
    </w:p>
    <w:p w:rsidR="00E462FA" w:rsidRDefault="00E462FA" w:rsidP="00E462FA">
      <w:pPr>
        <w:pStyle w:val="default"/>
        <w:spacing w:before="0" w:beforeAutospacing="0" w:after="0" w:afterAutospacing="0"/>
        <w:jc w:val="both"/>
        <w:rPr>
          <w:sz w:val="23"/>
          <w:szCs w:val="23"/>
        </w:rPr>
      </w:pPr>
      <w:r>
        <w:rPr>
          <w:sz w:val="23"/>
          <w:szCs w:val="23"/>
        </w:rPr>
        <w:t xml:space="preserve">S ohledem na výše uvedené důvody a na základě § 15 odst. 1 </w:t>
      </w:r>
      <w:proofErr w:type="spellStart"/>
      <w:r>
        <w:rPr>
          <w:sz w:val="23"/>
          <w:szCs w:val="23"/>
        </w:rPr>
        <w:t>InfZ</w:t>
      </w:r>
      <w:proofErr w:type="spellEnd"/>
      <w:r>
        <w:rPr>
          <w:sz w:val="23"/>
          <w:szCs w:val="23"/>
        </w:rPr>
        <w:t xml:space="preserve"> ve znění pozdějších předpisů rozhodl povinný subjekt o odmítnutí části žádosti.</w:t>
      </w:r>
    </w:p>
    <w:p w:rsidR="00E462FA" w:rsidRDefault="00E462FA" w:rsidP="00E462FA">
      <w:pPr>
        <w:pStyle w:val="default"/>
        <w:spacing w:before="0" w:beforeAutospacing="0" w:after="0" w:afterAutospacing="0"/>
        <w:jc w:val="both"/>
        <w:rPr>
          <w:sz w:val="23"/>
          <w:szCs w:val="23"/>
        </w:rPr>
      </w:pPr>
    </w:p>
    <w:p w:rsidR="00E462FA" w:rsidRDefault="00E462FA" w:rsidP="00E462FA">
      <w:pPr>
        <w:pStyle w:val="default"/>
        <w:spacing w:before="0" w:beforeAutospacing="0" w:after="0" w:afterAutospacing="0"/>
        <w:jc w:val="center"/>
        <w:rPr>
          <w:sz w:val="23"/>
          <w:szCs w:val="23"/>
        </w:rPr>
      </w:pPr>
      <w:r>
        <w:rPr>
          <w:b/>
          <w:bCs/>
          <w:sz w:val="23"/>
          <w:szCs w:val="23"/>
        </w:rPr>
        <w:t>Poučení</w:t>
      </w:r>
    </w:p>
    <w:p w:rsidR="00E462FA" w:rsidRDefault="00E462FA" w:rsidP="00E462FA">
      <w:pPr>
        <w:pStyle w:val="default"/>
        <w:spacing w:before="0" w:beforeAutospacing="0" w:after="0" w:afterAutospacing="0"/>
        <w:jc w:val="both"/>
        <w:rPr>
          <w:sz w:val="23"/>
          <w:szCs w:val="23"/>
        </w:rPr>
      </w:pPr>
      <w:r>
        <w:rPr>
          <w:sz w:val="23"/>
          <w:szCs w:val="23"/>
        </w:rPr>
        <w:t xml:space="preserve">Proti tomuto rozhodnutí lze podat do 15 dnů ode dne jeho doručení odvolání ke Krajskému úřadu Olomouckého kraje podáním učiněným u Magistrátu města Olomouce, Hynaisova 34/10, 779 11 Olomouc. Lhůta pro podání odvolání běží ode dne následujícího po dni doručení tohoto rozhodnutí. </w:t>
      </w:r>
    </w:p>
    <w:p w:rsidR="00E462FA" w:rsidRDefault="00E462FA" w:rsidP="00E462FA">
      <w:pPr>
        <w:rPr>
          <w:rFonts w:eastAsia="Times New Roman"/>
        </w:rPr>
      </w:pPr>
      <w:r>
        <w:rPr>
          <w:rFonts w:eastAsia="Times New Roman"/>
        </w:rPr>
        <w:br/>
        <w:t> </w:t>
      </w:r>
    </w:p>
    <w:p w:rsidR="00AA29C1" w:rsidRDefault="00AA29C1">
      <w:bookmarkStart w:id="0" w:name="_GoBack"/>
      <w:bookmarkEnd w:id="0"/>
    </w:p>
    <w:sectPr w:rsidR="00AA2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FA"/>
    <w:rsid w:val="00AA29C1"/>
    <w:rsid w:val="00E4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2F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E462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2FA"/>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E46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6462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Snášel Pavel</dc:creator>
  <cp:lastModifiedBy>Snášel Pavel</cp:lastModifiedBy>
  <cp:revision>1</cp:revision>
  <dcterms:created xsi:type="dcterms:W3CDTF">2019-11-15T07:27:00Z</dcterms:created>
  <dcterms:modified xsi:type="dcterms:W3CDTF">2019-11-15T07:28:00Z</dcterms:modified>
</cp:coreProperties>
</file>